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60" w:lineRule="exact"/>
        <w:rPr>
          <w:rFonts w:hint="eastAsia"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附件6：</w:t>
      </w:r>
    </w:p>
    <w:p>
      <w:pPr>
        <w:spacing w:line="560" w:lineRule="exact"/>
        <w:ind w:firstLine="480"/>
        <w:jc w:val="center"/>
        <w:rPr>
          <w:rFonts w:hint="eastAsia"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2016年第一学期随堂公开课教师授课信息统计表</w:t>
      </w:r>
    </w:p>
    <w:p>
      <w:pPr>
        <w:spacing w:line="560" w:lineRule="exact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4"/>
        </w:rPr>
        <w:t>院系名称：</w:t>
      </w:r>
      <w:r>
        <w:rPr>
          <w:rFonts w:hint="eastAsia" w:ascii="仿宋_GB2312" w:hAnsi="仿宋" w:eastAsia="仿宋_GB2312"/>
          <w:sz w:val="24"/>
          <w:lang w:eastAsia="zh-CN"/>
        </w:rPr>
        <w:t>统计学院</w:t>
      </w:r>
    </w:p>
    <w:tbl>
      <w:tblPr>
        <w:tblStyle w:val="3"/>
        <w:tblW w:w="9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0"/>
        <w:gridCol w:w="999"/>
        <w:gridCol w:w="1572"/>
        <w:gridCol w:w="855"/>
        <w:gridCol w:w="1427"/>
        <w:gridCol w:w="1535"/>
        <w:gridCol w:w="1569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6" w:hRule="atLeast"/>
          <w:jc w:val="center"/>
        </w:trPr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号</w:t>
            </w: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教师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课程名称</w:t>
            </w:r>
          </w:p>
        </w:tc>
        <w:tc>
          <w:tcPr>
            <w:tcW w:w="855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是否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改革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</w:t>
            </w:r>
          </w:p>
        </w:tc>
        <w:tc>
          <w:tcPr>
            <w:tcW w:w="1427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授课时间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地点1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授课时间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地点2</w:t>
            </w: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授课时间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地点3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6" w:hRule="atLeast"/>
          <w:jc w:val="center"/>
        </w:trPr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贺文星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国民经济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统计学</w:t>
            </w:r>
          </w:p>
        </w:tc>
        <w:tc>
          <w:tcPr>
            <w:tcW w:w="855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是</w:t>
            </w:r>
          </w:p>
        </w:tc>
        <w:tc>
          <w:tcPr>
            <w:tcW w:w="1427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4月20日/周三上午1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sz w:val="24"/>
              </w:rPr>
              <w:t>2节/教1-202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4月21日/周四上午1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sz w:val="24"/>
              </w:rPr>
              <w:t>2节/教1-202</w:t>
            </w: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4月27日/周三上午1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sz w:val="24"/>
              </w:rPr>
              <w:t>2节/教1-202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6" w:hRule="atLeast"/>
          <w:jc w:val="center"/>
        </w:trPr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金莹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数理统计学</w:t>
            </w:r>
          </w:p>
        </w:tc>
        <w:tc>
          <w:tcPr>
            <w:tcW w:w="855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是</w:t>
            </w:r>
          </w:p>
        </w:tc>
        <w:tc>
          <w:tcPr>
            <w:tcW w:w="1427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4月5号/周二上午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</w:rPr>
              <w:t>第1节/教2-201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4月12号/周二上午第1节/教2-201</w:t>
            </w: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4月26号/周二上午第1节/教2-201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70" w:hRule="atLeast"/>
          <w:jc w:val="center"/>
        </w:trPr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刘定平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统计思想与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学科前沿</w:t>
            </w:r>
          </w:p>
        </w:tc>
        <w:tc>
          <w:tcPr>
            <w:tcW w:w="855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否</w:t>
            </w:r>
          </w:p>
        </w:tc>
        <w:tc>
          <w:tcPr>
            <w:tcW w:w="1427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4月26日/周二上午第3节/教2-111（商勇）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5月11日/周三上午第1节/教1-201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（刘定平）</w:t>
            </w: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6月8日/周三上午第4节/教1-205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（王一惠）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7" w:hRule="atLeast"/>
          <w:jc w:val="center"/>
        </w:trPr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李霞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无</w:t>
            </w:r>
          </w:p>
        </w:tc>
        <w:tc>
          <w:tcPr>
            <w:tcW w:w="855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7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</w:tbl>
    <w:p>
      <w:pPr>
        <w:ind w:left="719" w:leftChars="228" w:hanging="240" w:hangingChars="100"/>
        <w:rPr>
          <w:rFonts w:hint="eastAsia" w:ascii="仿宋" w:hAnsi="仿宋" w:eastAsia="仿宋"/>
          <w:color w:val="FF0000"/>
          <w:sz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369B5"/>
    <w:rsid w:val="1D0369B5"/>
    <w:rsid w:val="76B028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2016-03-24T00:37:00Z</dcterms:created>
  <dc:creator>Administrator</dc:creator>
  <cp:lastModifiedBy>Administrator</cp:lastModifiedBy>
  <dcterms:modified xsi:type="dcterms:W3CDTF">2016-03-24T00:43:32Z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