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黑体" w:hAnsi="黑体" w:eastAsia="黑体"/>
          <w:sz w:val="28"/>
          <w:szCs w:val="28"/>
        </w:rPr>
      </w:pPr>
      <w:bookmarkStart w:id="0" w:name="BKsubject"/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0"/>
          <w:szCs w:val="30"/>
        </w:rPr>
        <w:t>年</w:t>
      </w:r>
      <w:r>
        <w:rPr>
          <w:rFonts w:ascii="黑体" w:hAnsi="黑体" w:eastAsia="黑体"/>
          <w:sz w:val="30"/>
          <w:szCs w:val="30"/>
        </w:rPr>
        <w:t>建设期满</w:t>
      </w:r>
      <w:r>
        <w:rPr>
          <w:rFonts w:hint="eastAsia" w:ascii="黑体" w:hAnsi="黑体" w:eastAsia="黑体"/>
          <w:sz w:val="30"/>
          <w:szCs w:val="30"/>
        </w:rPr>
        <w:t>校级本科教学工程专题项目名单</w:t>
      </w:r>
    </w:p>
    <w:bookmarkEnd w:id="0"/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3817"/>
        <w:gridCol w:w="866"/>
        <w:gridCol w:w="262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/>
              <w:contextualSpacing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 xml:space="preserve">第一类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交叉融合课程建设项目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  <w:t>项目名称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  <w:t>项目</w:t>
            </w:r>
          </w:p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  <w:t>主持人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  <w:t>主要成员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新文科视域下“电子商务网站设计”多学科交叉融合课程建设实践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陈俊慧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勇、张晓东、杜浩阳、史晓东、丁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莉、样风雷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电子商务与物流管理学院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《大数据与财务决策》课程实践及效果研究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陈春艳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张肖飞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方拥军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石青梅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董红杰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朱一博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《大数据人力资源管理》课程开发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龚文海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王利军、裴宏森、冷元元、胡晓明、张占武、朱俊峰、刘晓卡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4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《软件测试与质量保证》交叉融合课程设计与建设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卢照敢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鲍治国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赵贞贞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马小飞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庆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《区块链与管理创新》课程建设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斌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郭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宏、姚阳迪、仝如琼、王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涛、张嘉斐、孙春艳、王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豪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经济管理实验教学中心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第二类  课程思政与美育专题研究与实践项目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项目名称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项目</w:t>
            </w:r>
          </w:p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主持人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主要成员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习近平法治思想融入刑事诉讼法学教学全过程研究与实践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姜保忠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陈在上、侯东亮、刘用军、梁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静、胡经辉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刑事司法学院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税法课程思政元素发掘、梳理与教学设计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慧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代文明、李金华、李培才、曾学刚、施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润、马一杰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民商经济法学院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8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基于《传播学概论》线上线下混合教学的课程思政教学改革研究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方雪琴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丹、尹晓楠、陈海峰、夏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迪、贾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楠、张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衬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文化传播学院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9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《Python语言程序设计》课程思政研究与实践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刘钟涛、刘明利、申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康、荆宜青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现代教育技术中心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10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《农村发展学》课程思政研究与实践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李旖婷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季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强、高明国、张改清、关付新、张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扬、朱丽娟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工程管理与房地产学院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《区域分析与规划》课程思政建设的研究与实践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孟德友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凯、胥亚男、朱纪广、海贝贝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大学美育课程混合式教学改革创新与实践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张欣杰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沙家强、左玉玮、张彦聪、张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帆、胡乃文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素质教育中心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新文科背景下大学英语课程思政教学模式探究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牛青青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育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豆红丽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毛现桩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韩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周小末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14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《国际贸易实务》课程思政建设研究与实践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张相伟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任保显、张志醒、张天笑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国际经济与贸易学院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全面高质量的《管理会计》课程思政体系设计与实践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申  玲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田西杰、刘艳伟、陈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莉、周婕铮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16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“立德树人”视域下大学公共体育教学课程思政融入研究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张兵兵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韩志勇、彭圣致、李志灏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体育部（系）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17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《旅游地理》课程思政设计及探索研究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谢燕娜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朱青晓、王洁洁、荣培君、何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旅游与会展学院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18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《教育社会学》课程思政资源开发与利用研究——以党和国家领导人的教育论述为中心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张彦聪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田训龙、陈伟涛、周琳琳、罗  帅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19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课程思政视域下财经类院校数学建模教学及实施路径研究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任金城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李志强、王鹏德、张红艳、李海银、张丽丽、张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伟、姚向丹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数学与信息科学学院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20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《跨境电子商务理论与实务》课程思政改革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赵崤含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勇、柴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昊、丁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莉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电子商务与物流管理学院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经济控制论》课程的美育研究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婷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刘子胜、李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宁、张娇娇、龙晓念、陈培培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数学与信息科学学院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《保险学原理》课程思政教学改革的设计与应用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郭江涛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宋伟伟、郭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方、巴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周文蕾、杨甜婕、胡建国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美育视野下《创业学》课程教学改革研究与实践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峥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沙家强、刘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杰、王丙乾、范艳文、张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腾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24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《创业基础》课程中美学元素挖掘和设计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帅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郝玉红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睿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杰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李洪玲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就业创业指导处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课程思政在法学实践教学中的融合与设计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白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楠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杨真真、宁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杰、裴小梅、张安毅、姚学礼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法学实验教学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26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《人力资源管理》课程思政建设与实施研究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裴宏森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龚文海、胡晓明、薛献华、孙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妍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27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大学生话语体系与课程思政育人目标相关度提升机制研究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李培才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王红阳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刘欣然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霍文娜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邵  婵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蒋剑辉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焦心雨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陈柯吉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28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融入思政元素的《C语言程序设计》课程建设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米慧超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李祎、张巧荣、李洁颖、张红军、李田茖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计算机与信息工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29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《企业战略与风险管理》课程思政建设与应用研究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郑  飞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叶建华、张肖飞、肖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萍、李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腾、李苗苗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30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《国际法（双语）》课程思政理论研究及实践探索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汪珂如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崔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航、王宏鑫、侯娅玲、丁洁琼、袁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松、李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第三类  教学管理专题研究与实践项目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项目名称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项目</w:t>
            </w:r>
          </w:p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主持人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主要成员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31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金融数学一流专业建设的研究与实践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李伟平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朱建章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任金城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任  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郭倩平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蔡定教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姚向丹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数学与信息科学学院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32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基于新文科的国际经济与贸易“专业+外语+文化”人才培养模式研究与实践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王洪庆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任保显、蔡静静、李子豪、郭界秀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国际经济与贸易学院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33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完全学分制下学籍管理协同育人功能路径与机制研究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魏进锋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闫方方、王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韧、赵鹏鹏、   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磊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34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工商管理类专业 “产科教” 协同育人模式与策略研究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王文超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朱俊锋、寇晓宇、李志兰、刘俊苹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35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基于产教融合的财经类院校实践教学质量评价体系研究与实践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李志强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坛、张国政、牟雯琪、许鹏飞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36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我校完全学分制模式下人才培养质量评价研究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张国政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张道庆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马西锋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牟雯琪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许鹏飞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磊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lang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类  教师教学发展研究与实践项目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项目名称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项目</w:t>
            </w:r>
          </w:p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主持人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主要成员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highlight w:val="none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37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智慧环境下地方财经类高校“教”“学”创新能力共进路径及实践研究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牛锦红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张道庆、李丛束、刘兰淇、朱  潇、樊萌君、王璐璐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38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教师教学发展示范中心建设研究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彤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戚笑雨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陈慧慧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岚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教师教学发展中心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39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校本教师发展师能力标准体系研究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彤、戚笑雨、苗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壮、陈慧慧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highlight w:val="none"/>
              </w:rPr>
              <w:t>民商经济法学院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jYzNTU4YmMxMDBhOTdlZTA5NjcyNWY3N2IxZWMifQ=="/>
  </w:docVars>
  <w:rsids>
    <w:rsidRoot w:val="61A759DF"/>
    <w:rsid w:val="04620439"/>
    <w:rsid w:val="07F615C4"/>
    <w:rsid w:val="08BF22FE"/>
    <w:rsid w:val="11800151"/>
    <w:rsid w:val="21297EF1"/>
    <w:rsid w:val="2D012EA5"/>
    <w:rsid w:val="310B75DF"/>
    <w:rsid w:val="321F3A9E"/>
    <w:rsid w:val="36767BF1"/>
    <w:rsid w:val="4214206C"/>
    <w:rsid w:val="42DA5063"/>
    <w:rsid w:val="481F0AB7"/>
    <w:rsid w:val="4A431740"/>
    <w:rsid w:val="4F6E6BE2"/>
    <w:rsid w:val="50BB0282"/>
    <w:rsid w:val="52D03D8D"/>
    <w:rsid w:val="56DE24C6"/>
    <w:rsid w:val="595D1B8B"/>
    <w:rsid w:val="5EEA61D6"/>
    <w:rsid w:val="61A759DF"/>
    <w:rsid w:val="62746797"/>
    <w:rsid w:val="68680B89"/>
    <w:rsid w:val="71F256B4"/>
    <w:rsid w:val="739B4217"/>
    <w:rsid w:val="7CC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ardlist-value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1296</Words>
  <Characters>1431</Characters>
  <Lines>0</Lines>
  <Paragraphs>0</Paragraphs>
  <TotalTime>8</TotalTime>
  <ScaleCrop>false</ScaleCrop>
  <LinksUpToDate>false</LinksUpToDate>
  <CharactersWithSpaces>1438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2022-09-26T03:09:00Z</dcterms:created>
  <dc:creator>李欣蔚</dc:creator>
  <cp:lastModifiedBy>junesolstice</cp:lastModifiedBy>
  <dcterms:modified xsi:type="dcterms:W3CDTF">2023-11-28T06:50:24Z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179223898609451B8988873F89707234</vt:lpwstr>
  </property>
</Properties>
</file>