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40"/>
          <w:w w:val="50"/>
          <w:sz w:val="84"/>
          <w:szCs w:val="84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40"/>
          <w:w w:val="50"/>
          <w:sz w:val="112"/>
          <w:szCs w:val="112"/>
        </w:rPr>
      </w:pPr>
      <w:r>
        <w:rPr>
          <w:rFonts w:hint="eastAsia" w:ascii="方正小标宋简体" w:eastAsia="方正小标宋简体"/>
          <w:color w:val="FF0000"/>
          <w:spacing w:val="40"/>
          <w:w w:val="50"/>
          <w:sz w:val="112"/>
          <w:szCs w:val="112"/>
        </w:rPr>
        <w:t>河南财经政法大学教务处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BKfilenum"/>
      <w:bookmarkEnd w:id="0"/>
      <w:r>
        <w:rPr>
          <w:rFonts w:hint="eastAsia" w:ascii="仿宋_GB2312" w:eastAsia="仿宋_GB2312"/>
          <w:sz w:val="32"/>
          <w:szCs w:val="32"/>
        </w:rPr>
        <w:t>教通字〔2018〕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tbl>
      <w:tblPr>
        <w:tblStyle w:val="6"/>
        <w:tblW w:w="88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exact"/>
          <w:jc w:val="center"/>
        </w:trPr>
        <w:tc>
          <w:tcPr>
            <w:tcW w:w="8847" w:type="dxa"/>
            <w:vAlign w:val="top"/>
          </w:tcPr>
          <w:p>
            <w:pPr>
              <w:spacing w:line="460" w:lineRule="exact"/>
              <w:jc w:val="center"/>
            </w:pPr>
            <w:r>
              <w:rPr>
                <w:rFonts w:ascii="宋体"/>
                <w:color w:val="FF0000"/>
                <w:sz w:val="44"/>
                <w:szCs w:val="44"/>
              </w:rPr>
              <w:pict>
                <v:shape id="自选图形 8" o:spid="_x0000_s1026" o:spt="32" type="#_x0000_t32" style="position:absolute;left:0pt;margin-left:0.35pt;margin-top:9.6pt;height:0pt;width:209.25pt;z-index:251659264;mso-width-relative:page;mso-height-relative:page;" o:connectortype="straight" filled="f" coordsize="21600,21600">
                  <v:path arrowok="t"/>
                  <v:fill on="f" focussize="0,0"/>
                  <v:stroke weight="2.25pt" color="#FF0000"/>
                  <v:imagedata o:title=""/>
                  <o:lock v:ext="edit"/>
                </v:shape>
              </w:pict>
            </w:r>
            <w:r>
              <w:rPr>
                <w:rFonts w:ascii="宋体"/>
                <w:color w:val="FF0000"/>
                <w:sz w:val="44"/>
                <w:szCs w:val="44"/>
              </w:rPr>
              <w:pict>
                <v:shape id="自选图形 7" o:spid="_x0000_s1027" o:spt="32" type="#_x0000_t32" style="position:absolute;left:0pt;margin-left:232.1pt;margin-top:9pt;height:0pt;width:209.25pt;z-index:251660288;mso-width-relative:page;mso-height-relative:page;" o:connectortype="straight" filled="f" coordsize="21600,21600">
                  <v:path arrowok="t"/>
                  <v:fill on="f" focussize="0,0"/>
                  <v:stroke weight="2.25pt" color="#FF0000"/>
                  <v:imagedata o:title=""/>
                  <o:lock v:ext="edit"/>
                </v:shape>
              </w:pict>
            </w:r>
            <w:r>
              <w:rPr>
                <w:rFonts w:hint="eastAsia" w:ascii="宋体"/>
                <w:color w:val="FF0000"/>
                <w:sz w:val="44"/>
                <w:szCs w:val="44"/>
              </w:rPr>
              <w:t>★</w:t>
            </w:r>
          </w:p>
        </w:tc>
      </w:tr>
    </w:tbl>
    <w:p>
      <w:pPr>
        <w:pStyle w:val="7"/>
        <w:spacing w:line="560" w:lineRule="exact"/>
        <w:jc w:val="center"/>
        <w:rPr>
          <w:rFonts w:ascii="方正小标宋简体" w:hAnsi="宋体" w:eastAsia="方正小标宋简体" w:cs="Arial"/>
          <w:color w:val="191919"/>
          <w:sz w:val="44"/>
          <w:szCs w:val="44"/>
        </w:rPr>
      </w:pPr>
      <w:bookmarkStart w:id="1" w:name="Content"/>
      <w:bookmarkEnd w:id="1"/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 w:cs="Arial"/>
          <w:color w:val="191919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191919"/>
          <w:sz w:val="44"/>
          <w:szCs w:val="44"/>
        </w:rPr>
        <w:t>河南财经政法大学教务处</w:t>
      </w:r>
    </w:p>
    <w:p>
      <w:pPr>
        <w:pStyle w:val="7"/>
        <w:spacing w:line="560" w:lineRule="exact"/>
        <w:jc w:val="center"/>
        <w:rPr>
          <w:rFonts w:ascii="方正小标宋简体" w:hAnsi="宋体" w:eastAsia="方正小标宋简体" w:cs="Arial"/>
          <w:color w:val="191919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191919"/>
          <w:sz w:val="44"/>
          <w:szCs w:val="44"/>
        </w:rPr>
        <w:t>关于开展2017-2018学年第一学期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 w:cs="Arial"/>
          <w:color w:val="191919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191919"/>
          <w:sz w:val="44"/>
          <w:szCs w:val="44"/>
        </w:rPr>
        <w:t>教师网上评学工作的通知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各教学单位：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为全面了解我校学风建设情况，根据学校教学工作安排，决定组织开展本学期教师网上评学工作，现将有关事项通知如下：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Arial"/>
          <w:color w:val="191919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</w:rPr>
        <w:t>一、评学的目的和意义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教师评学既有助于促进师生交流、提高和改进自身的教学方法和手段，也可以了解学生学风、学纪和学习效果等情况，从而激发学生学习的积极性、主动性，促进形成优良的学风教风。请全体授课教师积极参与，客观公正地进行评学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Arial"/>
          <w:color w:val="191919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</w:rPr>
        <w:t>二、评学对象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本学期全体授课教师授课的全校本专科教学班级。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Arial"/>
          <w:color w:val="191919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</w:rPr>
        <w:t>三、评学时间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2018年1月8日—2018年1月16日。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Arial"/>
          <w:color w:val="191919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</w:rPr>
        <w:t>四、评学流程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</w:rPr>
        <w:t>（一）注意事项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教师网上评学主要通过教务信息管理平台完成。教师遗忘登录密码请于本单位教学办公室重置密码。因系统原因不能正常网上评学的，请教师向教学办公室说明情况，由教学主任（教学秘书）汇总后，报送教务处集中处理。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</w:rPr>
        <w:t>（二）教师网上评学操作方法及步骤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登录“河南财经政法大学教务信息服务平台”系统主界面。在“用户登录”栏输入教师“工号”及“密码”进入平台。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sz w:val="32"/>
          <w:szCs w:val="32"/>
        </w:rPr>
        <w:pict>
          <v:shape id="图片 2" o:spid="_x0000_s1028" o:spt="75" alt="教务管理系统1" type="#_x0000_t75" style="position:absolute;left:0pt;margin-left:48pt;margin-top:9.25pt;height:168.75pt;width:325.5pt;mso-wrap-distance-bottom:0pt;mso-wrap-distance-top:0pt;z-index:-251655168;mso-width-relative:page;mso-height-relative:page;" filled="f" stroked="f" coordsize="21600,21600">
            <v:path/>
            <v:fill on="f" focussize="0,0"/>
            <v:stroke on="f"/>
            <v:imagedata r:id="rId6" o:title="教务管理系统1"/>
            <o:lock v:ext="edit" grouping="f" rotation="f" aspectratio="t"/>
            <w10:wrap type="topAndBottom"/>
          </v:shape>
        </w:pict>
      </w:r>
      <w:r>
        <w:rPr>
          <w:rFonts w:ascii="仿宋_GB2312" w:hAnsi="宋体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点击“教师评价”下拉菜单栏“教师评学”，左侧即显示教师个人本学期需要评学的教学班。选择相应教学班，参考右侧评学指标，根据该班学风情况给出相应等级（优秀、良好、较差）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。</w:t>
      </w:r>
    </w:p>
    <w:p>
      <w:pPr>
        <w:spacing w:line="560" w:lineRule="exact"/>
        <w:ind w:firstLine="48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sz w:val="32"/>
          <w:szCs w:val="32"/>
        </w:rPr>
        <w:pict>
          <v:shape id="图片 3" o:spid="_x0000_s1029" o:spt="75" alt="QQ图片20170607120012_副本" type="#_x0000_t75" style="position:absolute;left:0pt;margin-left:78pt;margin-top:5.2pt;height:233.25pt;width:285.75pt;mso-wrap-distance-bottom:0pt;mso-wrap-distance-top:0pt;z-index:251662336;mso-width-relative:page;mso-height-relative:page;" filled="f" stroked="f" coordsize="21600,21600">
            <v:path/>
            <v:fill on="f" focussize="0,0"/>
            <v:stroke on="f"/>
            <v:imagedata r:id="rId7" o:title="QQ图片20170607120012_副本"/>
            <o:lock v:ext="edit" grouping="f" rotation="f" aspectratio="t"/>
            <w10:wrap type="topAndBottom"/>
          </v:shape>
        </w:pic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3.教师对每一个教学班评学结束后点击“保存”，进入下一个教学班的评学，直至本学期所有教学班均完成评学，点击“提交”，完成本次网上评学活动。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</w:rPr>
        <w:t>五、评学活动要求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（一</w:t>
      </w:r>
      <w:r>
        <w:rPr>
          <w:rFonts w:ascii="仿宋_GB2312" w:hAnsi="Arial" w:eastAsia="仿宋_GB2312" w:cs="Arial"/>
          <w:color w:val="191919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教师网上评学由各教学单位具体组织实施。各教学单位应根据学校要求，及时通知并组织教师参加评学活动，请教师合理安排时间，避开冲突，在规定的时间内完成评学。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（二</w:t>
      </w:r>
      <w:r>
        <w:rPr>
          <w:rFonts w:ascii="仿宋_GB2312" w:hAnsi="Arial" w:eastAsia="仿宋_GB2312" w:cs="Arial"/>
          <w:color w:val="191919"/>
          <w:sz w:val="32"/>
          <w:szCs w:val="32"/>
        </w:rPr>
        <w:t>）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各教学单位应根据网上评学汇总情况，发现学风建设中存在的问题并分析原因，制定下一步学风整改方案。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（三</w:t>
      </w:r>
      <w:r>
        <w:rPr>
          <w:rFonts w:ascii="仿宋_GB2312" w:hAnsi="Arial" w:eastAsia="仿宋_GB2312" w:cs="Arial"/>
          <w:color w:val="191919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教师网上评学的参评情况是教师参与教育教学活动的重要体现，将作为教师教学评优评奖的重要依据。教师参评率将作为所属教学单位教学管理评价的重要指标。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六、联系方式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联系人：冯老师，电话：86156973。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/>
          <w:color w:val="000000"/>
          <w:sz w:val="32"/>
          <w:szCs w:val="32"/>
        </w:rPr>
        <w:t>-201</w:t>
      </w:r>
      <w:r>
        <w:rPr>
          <w:rFonts w:hint="eastAsia"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/>
          <w:color w:val="000000"/>
          <w:sz w:val="32"/>
          <w:szCs w:val="32"/>
        </w:rPr>
        <w:t>学年第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ascii="仿宋_GB2312" w:eastAsia="仿宋_GB2312"/>
          <w:color w:val="000000"/>
          <w:sz w:val="32"/>
          <w:szCs w:val="32"/>
        </w:rPr>
        <w:t>学期</w:t>
      </w:r>
      <w:r>
        <w:rPr>
          <w:rFonts w:hint="eastAsia" w:ascii="仿宋_GB2312" w:eastAsia="仿宋_GB2312"/>
          <w:color w:val="000000"/>
          <w:sz w:val="32"/>
          <w:szCs w:val="32"/>
        </w:rPr>
        <w:t>教师</w:t>
      </w:r>
      <w:r>
        <w:rPr>
          <w:rFonts w:ascii="仿宋_GB2312" w:eastAsia="仿宋_GB2312"/>
          <w:color w:val="000000"/>
          <w:sz w:val="32"/>
          <w:szCs w:val="32"/>
        </w:rPr>
        <w:t>网上评</w:t>
      </w:r>
      <w:r>
        <w:rPr>
          <w:rFonts w:hint="eastAsia" w:ascii="仿宋_GB2312" w:eastAsia="仿宋_GB2312"/>
          <w:color w:val="000000"/>
          <w:sz w:val="32"/>
          <w:szCs w:val="32"/>
        </w:rPr>
        <w:t>学</w:t>
      </w:r>
      <w:r>
        <w:rPr>
          <w:rFonts w:ascii="仿宋_GB2312" w:eastAsia="仿宋_GB2312"/>
          <w:color w:val="000000"/>
          <w:sz w:val="32"/>
          <w:szCs w:val="32"/>
        </w:rPr>
        <w:t>指标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/>
        </w:rPr>
        <w:pict>
          <v:shape id="图片 15" o:spid="_x0000_s1030" o:spt="75" alt="DBSTEP_MARK&#13;&#10;FILENAME=f1a706591e15f81814fac5184b29e7b5_dg.doc&#13;&#10;MARKNAME=教务处&#13;&#10;USERNAME=任丙超&#13;&#10;DATETIME=2018-01-03 15:46:25&#13;&#10;MARKGUID={1F9B0F2E-0CF8-48AD-AB66-0C2B954B2613}" type="#_x0000_t75" style="position:absolute;left:0pt;margin-left:112.5pt;margin-top:16.7pt;height:177pt;width:234pt;z-index:-251658240;mso-width-relative:page;mso-height-relative:page;" filled="f" stroked="f" coordsize="21600,21600">
            <v:path/>
            <v:fill on="f" focussize="0,0"/>
            <v:stroke on="f"/>
            <v:imagedata r:id="rId8" chromakey="#FFFFFF" o:title="Signature"/>
            <o:lock v:ext="edit" aspectratio="t"/>
          </v:shape>
        </w:pic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</w:t>
      </w: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河南财经政法大学教务处</w:t>
      </w:r>
    </w:p>
    <w:p>
      <w:pPr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2018年1月3日</w:t>
      </w: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color w:val="000000"/>
          <w:sz w:val="28"/>
          <w:szCs w:val="28"/>
        </w:rPr>
      </w:pPr>
    </w:p>
    <w:p>
      <w:pPr>
        <w:spacing w:line="500" w:lineRule="atLeas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500" w:lineRule="atLeas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after="240" w:line="500" w:lineRule="atLeast"/>
        <w:jc w:val="center"/>
        <w:rPr>
          <w:rFonts w:hint="eastAsia" w:ascii="方正小标宋简体" w:hAnsi="宋体" w:eastAsia="方正小标宋简体" w:cs="宋体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2017-2018学年第一学期教师网上评学指标</w:t>
      </w:r>
    </w:p>
    <w:tbl>
      <w:tblPr>
        <w:tblStyle w:val="6"/>
        <w:tblW w:w="8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2796"/>
        <w:gridCol w:w="1305"/>
        <w:gridCol w:w="1372"/>
        <w:gridCol w:w="13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评价项目</w:t>
            </w:r>
          </w:p>
        </w:tc>
        <w:tc>
          <w:tcPr>
            <w:tcW w:w="2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2" w:firstLineChars="200"/>
              <w:jc w:val="both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评价内容</w:t>
            </w:r>
          </w:p>
        </w:tc>
        <w:tc>
          <w:tcPr>
            <w:tcW w:w="4049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评价等级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A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优秀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85-100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B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良好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60-84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C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较差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</w:rPr>
              <w:t>0-59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0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学习态度</w:t>
            </w:r>
          </w:p>
        </w:tc>
        <w:tc>
          <w:tcPr>
            <w:tcW w:w="279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left="63" w:leftChars="30"/>
              <w:jc w:val="both"/>
              <w:rPr>
                <w:rFonts w:ascii="仿宋_GB2312" w:hAnsi="Arial" w:eastAsia="仿宋_GB2312" w:cs="Arial"/>
                <w:color w:val="191919"/>
              </w:rPr>
            </w:pPr>
            <w:r>
              <w:rPr>
                <w:rFonts w:hint="eastAsia" w:ascii="仿宋_GB2312" w:hAnsi="Arial" w:eastAsia="仿宋_GB2312" w:cs="Arial"/>
                <w:color w:val="191919"/>
              </w:rPr>
              <w:t>学生尊师重教、品行、言行及思考问题、回答问题情况。</w:t>
            </w:r>
          </w:p>
        </w:tc>
        <w:tc>
          <w:tcPr>
            <w:tcW w:w="1305" w:type="dxa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0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教学秩序</w:t>
            </w:r>
          </w:p>
        </w:tc>
        <w:tc>
          <w:tcPr>
            <w:tcW w:w="279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left="63" w:leftChars="30"/>
              <w:jc w:val="both"/>
              <w:rPr>
                <w:rFonts w:ascii="仿宋_GB2312" w:hAnsi="Arial" w:eastAsia="仿宋_GB2312" w:cs="Arial"/>
                <w:color w:val="191919"/>
              </w:rPr>
            </w:pPr>
            <w:r>
              <w:rPr>
                <w:rFonts w:hint="eastAsia" w:ascii="仿宋_GB2312" w:hAnsi="Arial" w:eastAsia="仿宋_GB2312" w:cs="Arial"/>
                <w:color w:val="191919"/>
              </w:rPr>
              <w:t>遵守教学规章制度、使用教材、出勤情况及课堂学习状态。</w:t>
            </w:r>
          </w:p>
        </w:tc>
        <w:tc>
          <w:tcPr>
            <w:tcW w:w="1305" w:type="dxa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0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课前课后</w:t>
            </w:r>
          </w:p>
        </w:tc>
        <w:tc>
          <w:tcPr>
            <w:tcW w:w="279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left="63" w:leftChars="30"/>
              <w:jc w:val="both"/>
              <w:rPr>
                <w:rFonts w:ascii="仿宋_GB2312" w:hAnsi="Arial" w:eastAsia="仿宋_GB2312" w:cs="Arial"/>
                <w:color w:val="191919"/>
              </w:rPr>
            </w:pPr>
            <w:r>
              <w:rPr>
                <w:rFonts w:hint="eastAsia" w:ascii="仿宋_GB2312" w:hAnsi="Arial" w:eastAsia="仿宋_GB2312" w:cs="Arial"/>
                <w:color w:val="191919"/>
              </w:rPr>
              <w:t>课前预习、课后完成作业情况。</w:t>
            </w:r>
          </w:p>
        </w:tc>
        <w:tc>
          <w:tcPr>
            <w:tcW w:w="1305" w:type="dxa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学习效果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hAnsi="Arial" w:eastAsia="仿宋_GB2312" w:cs="Arial"/>
                <w:color w:val="191919"/>
              </w:rPr>
            </w:pPr>
            <w:r>
              <w:rPr>
                <w:rFonts w:hint="eastAsia" w:ascii="仿宋_GB2312" w:hAnsi="Arial" w:eastAsia="仿宋_GB2312" w:cs="Arial"/>
                <w:color w:val="191919"/>
              </w:rPr>
              <w:t>学生对基本知识、基本理论和基本技能的掌握情况。分析问题、解决问题的能力。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b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191919"/>
                <w:sz w:val="28"/>
                <w:szCs w:val="28"/>
              </w:rPr>
              <w:t>总体评价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hAnsi="Arial" w:eastAsia="仿宋_GB2312" w:cs="Arial"/>
                <w:color w:val="191919"/>
              </w:rPr>
            </w:pPr>
            <w:r>
              <w:rPr>
                <w:rFonts w:hint="eastAsia" w:ascii="仿宋_GB2312" w:hAnsi="Arial" w:eastAsia="仿宋_GB2312" w:cs="Arial"/>
                <w:color w:val="191919"/>
              </w:rPr>
              <w:t>对该教学班学风情况整体评价是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560" w:firstLineChars="200"/>
              <w:jc w:val="both"/>
              <w:rPr>
                <w:rFonts w:ascii="仿宋_GB2312" w:hAnsi="Arial" w:eastAsia="仿宋_GB2312" w:cs="Arial"/>
                <w:color w:val="191919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</w:rPr>
              <w:t> </w:t>
            </w:r>
          </w:p>
        </w:tc>
      </w:tr>
    </w:tbl>
    <w:p>
      <w:r>
        <w:rPr>
          <w:rFonts w:ascii="仿宋_GB2312" w:hAnsi="Arial" w:eastAsia="仿宋_GB2312" w:cs="Arial"/>
          <w:color w:val="191919"/>
          <w:sz w:val="28"/>
          <w:szCs w:val="28"/>
        </w:rPr>
        <w:t> 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39"/>
    <w:rsid w:val="00C50EC6"/>
    <w:rsid w:val="00D42139"/>
    <w:rsid w:val="06765BDF"/>
    <w:rsid w:val="26804ACF"/>
    <w:rsid w:val="4AE93D23"/>
    <w:rsid w:val="602258BC"/>
    <w:rsid w:val="7BB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8"/>
        <o:r id="V:Rule2" type="connector" idref="#自选图形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8">
    <w:name w:val="页脚 Char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2018-01-12T02:19:00Z</dcterms:created>
  <dc:creator>Ann</dc:creator>
  <cp:lastModifiedBy>Ann</cp:lastModifiedBy>
  <dcterms:modified xsi:type="dcterms:W3CDTF">2018-01-12T02:32:59Z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